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45" w:rsidRDefault="00627E45" w:rsidP="00627E45">
      <w:pPr>
        <w:outlineLvl w:val="0"/>
      </w:pPr>
      <w:bookmarkStart w:id="0" w:name="_GoBack"/>
      <w:bookmarkEnd w:id="0"/>
      <w:r>
        <w:rPr>
          <w:b/>
          <w:bCs/>
        </w:rPr>
        <w:t xml:space="preserve">Betreff: </w:t>
      </w:r>
      <w:r>
        <w:t>Finanzielle Sofortmassnahmen des Bundes</w:t>
      </w:r>
    </w:p>
    <w:p w:rsidR="00627E45" w:rsidRDefault="00627E45" w:rsidP="00627E45"/>
    <w:tbl>
      <w:tblPr>
        <w:tblW w:w="5000" w:type="pct"/>
        <w:shd w:val="clear" w:color="auto" w:fill="E4E4E3"/>
        <w:tblCellMar>
          <w:left w:w="0" w:type="dxa"/>
          <w:right w:w="0" w:type="dxa"/>
        </w:tblCellMar>
        <w:tblLook w:val="04A0" w:firstRow="1" w:lastRow="0" w:firstColumn="1" w:lastColumn="0" w:noHBand="0" w:noVBand="1"/>
      </w:tblPr>
      <w:tblGrid>
        <w:gridCol w:w="9072"/>
      </w:tblGrid>
      <w:tr w:rsidR="00627E45" w:rsidTr="00627E45">
        <w:tc>
          <w:tcPr>
            <w:tcW w:w="0" w:type="auto"/>
            <w:shd w:val="clear" w:color="auto" w:fill="E4E4E3"/>
          </w:tcPr>
          <w:tbl>
            <w:tblPr>
              <w:tblW w:w="8700" w:type="dxa"/>
              <w:jc w:val="center"/>
              <w:shd w:val="clear" w:color="auto" w:fill="FFFFFF"/>
              <w:tblCellMar>
                <w:left w:w="0" w:type="dxa"/>
                <w:right w:w="0" w:type="dxa"/>
              </w:tblCellMar>
              <w:tblLook w:val="04A0" w:firstRow="1" w:lastRow="0" w:firstColumn="1" w:lastColumn="0" w:noHBand="0" w:noVBand="1"/>
            </w:tblPr>
            <w:tblGrid>
              <w:gridCol w:w="9072"/>
            </w:tblGrid>
            <w:tr w:rsidR="00627E45" w:rsidTr="00627E4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627E4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9066"/>
                          <w:gridCol w:w="6"/>
                        </w:tblGrid>
                        <w:tr w:rsidR="00627E45">
                          <w:tc>
                            <w:tcPr>
                              <w:tcW w:w="0" w:type="auto"/>
                              <w:tcMar>
                                <w:top w:w="0" w:type="dxa"/>
                                <w:left w:w="150" w:type="dxa"/>
                                <w:bottom w:w="150" w:type="dxa"/>
                                <w:right w:w="150" w:type="dxa"/>
                              </w:tcMar>
                              <w:hideMark/>
                            </w:tcPr>
                            <w:p w:rsidR="00627E45" w:rsidRDefault="00627E45" w:rsidP="00627E45">
                              <w:pPr>
                                <w:spacing w:line="285" w:lineRule="atLeast"/>
                                <w:rPr>
                                  <w:rFonts w:ascii="Helvetica" w:hAnsi="Helvetica" w:cs="Helvetica"/>
                                  <w:b/>
                                  <w:bCs/>
                                  <w:color w:val="222222"/>
                                  <w:sz w:val="21"/>
                                  <w:szCs w:val="21"/>
                                </w:rPr>
                              </w:pPr>
                              <w:bookmarkStart w:id="1" w:name="top"/>
                              <w:bookmarkEnd w:id="1"/>
                              <w:r>
                                <w:rPr>
                                  <w:rStyle w:val="Fett"/>
                                  <w:rFonts w:ascii="Helvetica" w:hAnsi="Helvetica" w:cs="Helvetica"/>
                                  <w:color w:val="222222"/>
                                  <w:sz w:val="21"/>
                                  <w:szCs w:val="21"/>
                                </w:rPr>
                                <w:t>20.3.2020</w:t>
                              </w:r>
                              <w:r>
                                <w:rPr>
                                  <w:rFonts w:ascii="Helvetica" w:hAnsi="Helvetica" w:cs="Helvetica"/>
                                  <w:b/>
                                  <w:bCs/>
                                  <w:color w:val="222222"/>
                                  <w:sz w:val="21"/>
                                  <w:szCs w:val="21"/>
                                </w:rPr>
                                <w:t xml:space="preserve"> </w:t>
                              </w:r>
                            </w:p>
                            <w:p w:rsidR="00627E45" w:rsidRDefault="00627E45" w:rsidP="00627E45">
                              <w:pPr>
                                <w:spacing w:line="285" w:lineRule="atLeast"/>
                                <w:rPr>
                                  <w:rFonts w:ascii="Helvetica" w:hAnsi="Helvetica" w:cs="Helvetica"/>
                                  <w:b/>
                                  <w:bCs/>
                                  <w:color w:val="222222"/>
                                  <w:sz w:val="21"/>
                                  <w:szCs w:val="21"/>
                                </w:rPr>
                              </w:pPr>
                              <w:r>
                                <w:rPr>
                                  <w:rFonts w:ascii="Helvetica" w:hAnsi="Helvetica" w:cs="Helvetica"/>
                                  <w:b/>
                                  <w:bCs/>
                                  <w:noProof/>
                                  <w:color w:val="222222"/>
                                  <w:sz w:val="21"/>
                                  <w:szCs w:val="21"/>
                                </w:rPr>
                                <w:drawing>
                                  <wp:inline distT="0" distB="0" distL="0" distR="0">
                                    <wp:extent cx="5760720" cy="57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715"/>
                                            </a:xfrm>
                                            <a:prstGeom prst="rect">
                                              <a:avLst/>
                                            </a:prstGeom>
                                            <a:noFill/>
                                            <a:ln>
                                              <a:noFill/>
                                            </a:ln>
                                          </pic:spPr>
                                        </pic:pic>
                                      </a:graphicData>
                                    </a:graphic>
                                  </wp:inline>
                                </w:drawing>
                              </w:r>
                            </w:p>
                          </w:tc>
                          <w:tc>
                            <w:tcPr>
                              <w:tcW w:w="6" w:type="dxa"/>
                              <w:hideMark/>
                            </w:tcPr>
                            <w:p w:rsidR="00627E45" w:rsidRDefault="00627E45" w:rsidP="00627E45">
                              <w:pPr>
                                <w:rPr>
                                  <w:rFonts w:ascii="Helvetica" w:hAnsi="Helvetica" w:cs="Helvetica"/>
                                  <w:b/>
                                  <w:bCs/>
                                  <w:color w:val="222222"/>
                                  <w:sz w:val="21"/>
                                  <w:szCs w:val="21"/>
                                </w:rPr>
                              </w:pPr>
                            </w:p>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spacing w:line="285" w:lineRule="atLeast"/>
                    <w:rPr>
                      <w:rFonts w:ascii="Helvetica" w:hAnsi="Helvetica" w:cs="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9072"/>
                  </w:tblGrid>
                  <w:tr w:rsidR="00627E4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gridCol w:w="6"/>
                        </w:tblGrid>
                        <w:tr w:rsidR="00627E45">
                          <w:tc>
                            <w:tcPr>
                              <w:tcW w:w="0" w:type="auto"/>
                              <w:tcMar>
                                <w:top w:w="0" w:type="dxa"/>
                                <w:left w:w="150" w:type="dxa"/>
                                <w:bottom w:w="150" w:type="dxa"/>
                                <w:right w:w="150" w:type="dxa"/>
                              </w:tcMar>
                              <w:hideMark/>
                            </w:tcPr>
                            <w:p w:rsidR="00627E45" w:rsidRDefault="00627E45" w:rsidP="00627E45">
                              <w:pPr>
                                <w:pStyle w:val="berschrift2"/>
                                <w:rPr>
                                  <w:rFonts w:eastAsia="Times New Roman"/>
                                </w:rPr>
                              </w:pPr>
                              <w:r>
                                <w:rPr>
                                  <w:rFonts w:eastAsia="Times New Roman"/>
                                </w:rPr>
                                <w:t>Unser Engagement und der Druck auf die Behörden haben Wirkung gezeigt!</w:t>
                              </w:r>
                            </w:p>
                            <w:p w:rsidR="00627E45" w:rsidRDefault="00627E45" w:rsidP="00627E45">
                              <w:pPr>
                                <w:spacing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5334000" cy="285940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59405"/>
                                            </a:xfrm>
                                            <a:prstGeom prst="rect">
                                              <a:avLst/>
                                            </a:prstGeom>
                                            <a:noFill/>
                                            <a:ln>
                                              <a:noFill/>
                                            </a:ln>
                                          </pic:spPr>
                                        </pic:pic>
                                      </a:graphicData>
                                    </a:graphic>
                                  </wp:inline>
                                </w:drawing>
                              </w:r>
                            </w:p>
                            <w:p w:rsidR="00627E45" w:rsidRDefault="00627E45" w:rsidP="00627E45">
                              <w:pPr>
                                <w:pStyle w:val="StandardWeb"/>
                              </w:pPr>
                              <w:proofErr w:type="spellStart"/>
                              <w:r>
                                <w:rPr>
                                  <w:rStyle w:val="Fett"/>
                                  <w:rFonts w:ascii="Helvetica" w:hAnsi="Helvetica" w:cs="Helvetica"/>
                                </w:rPr>
                                <w:t>Geschätzes</w:t>
                              </w:r>
                              <w:proofErr w:type="spellEnd"/>
                              <w:r>
                                <w:rPr>
                                  <w:rStyle w:val="Fett"/>
                                  <w:rFonts w:ascii="Helvetica" w:hAnsi="Helvetica" w:cs="Helvetica"/>
                                </w:rPr>
                                <w:t xml:space="preserve"> Mitglied, liebe Berufskolleginnen und -kollegen</w:t>
                              </w:r>
                            </w:p>
                            <w:p w:rsidR="00627E45" w:rsidRDefault="00627E45" w:rsidP="00627E45">
                              <w:pPr>
                                <w:pStyle w:val="StandardWeb"/>
                              </w:pPr>
                              <w:r>
                                <w:t xml:space="preserve">Es freut mich zu sehen, dass die offenen Briefe ans SECO und das BSV, um der </w:t>
                              </w:r>
                              <w:proofErr w:type="spellStart"/>
                              <w:r>
                                <w:t>Coiffeurbranche</w:t>
                              </w:r>
                              <w:proofErr w:type="spellEnd"/>
                              <w:r>
                                <w:t xml:space="preserve"> zu helfen ihre Wirkung zeigen. Alle unsere Forderungen sind nun im Massnahmenpaket enthalten.</w:t>
                              </w:r>
                            </w:p>
                            <w:p w:rsidR="00627E45" w:rsidRDefault="00627E45" w:rsidP="00627E45">
                              <w:pPr>
                                <w:pStyle w:val="StandardWeb"/>
                              </w:pPr>
                              <w:r>
                                <w:t xml:space="preserve">Der Bundesrat hat heute Nachmittag angekündigt, dass von der </w:t>
                              </w:r>
                              <w:proofErr w:type="spellStart"/>
                              <w:r>
                                <w:t>Coronakrise</w:t>
                              </w:r>
                              <w:proofErr w:type="spellEnd"/>
                              <w:r>
                                <w:t xml:space="preserve"> betroffene KMU Soforthilfe erhalten. Es werden 32 Milliarden zur Verfügung gestellt und ganz wichtig: </w:t>
                              </w:r>
                              <w:r>
                                <w:rPr>
                                  <w:rStyle w:val="Fett"/>
                                  <w:rFonts w:ascii="Helvetica" w:hAnsi="Helvetica" w:cs="Helvetica"/>
                                </w:rPr>
                                <w:t xml:space="preserve">Auch die Inhaber von Coiffeur Geschäften werden davon profitieren können. </w:t>
                              </w:r>
                              <w:r>
                                <w:t>Mit den neuen Massnahmen sollen Härtefälle soweit wie möglich vermieden und die betroffenen Personen und Branchen im Bedarfsfall möglichst unbürokratisch, gezielt und rasch unterstützt werden.</w:t>
                              </w:r>
                            </w:p>
                            <w:p w:rsidR="00627E45" w:rsidRDefault="00627E45" w:rsidP="00627E45">
                              <w:pPr>
                                <w:pStyle w:val="StandardWeb"/>
                              </w:pPr>
                              <w:r>
                                <w:rPr>
                                  <w:rStyle w:val="Fett"/>
                                  <w:rFonts w:ascii="Helvetica" w:hAnsi="Helvetica" w:cs="Helvetica"/>
                                </w:rPr>
                                <w:t>Die Sofortmassnahmen des Bundes:</w:t>
                              </w:r>
                            </w:p>
                            <w:p w:rsidR="00627E45" w:rsidRDefault="00627E45" w:rsidP="00627E45">
                              <w:pPr>
                                <w:pStyle w:val="StandardWeb"/>
                              </w:pPr>
                              <w:r>
                                <w:rPr>
                                  <w:rStyle w:val="Fett"/>
                                  <w:rFonts w:ascii="Helvetica" w:hAnsi="Helvetica" w:cs="Helvetica"/>
                                </w:rPr>
                                <w:t>Liquiditätshilfen für Unternehmen</w:t>
                              </w:r>
                            </w:p>
                            <w:p w:rsidR="00627E45" w:rsidRDefault="00627E45" w:rsidP="00627E45">
                              <w:pPr>
                                <w:pStyle w:val="StandardWeb"/>
                              </w:pPr>
                              <w:r>
                                <w:rPr>
                                  <w:rStyle w:val="Fett"/>
                                  <w:rFonts w:ascii="Helvetica" w:hAnsi="Helvetica" w:cs="Helvetica"/>
                                  <w:i/>
                                  <w:iCs/>
                                </w:rPr>
                                <w:t>Soforthilfe mittels verbürgter COVID-Überbrückungskredite</w:t>
                              </w:r>
                              <w:r>
                                <w:br/>
                                <w:t xml:space="preserve">Betroffene Unternehmen sollen rasch und unkompliziert Kreditbeträge bis zu 10% des Umsatzes oder maximal 20 Mio. CHF erhalten. Dabei sollen Beträge bis zu 500’000 CHF von den Banken sofort ausbezahlt werden und vom Bund zu 100% garantiert werden. Darüber hinaus gehende Beträge sollen vom Bund zu 85% garantiert werden und eine kurze Bankprüfung voraussetzen. Die Kreditbeträge bis zu 500’000 CHF dürften über 90 Prozent der von COVID betroffenen Unternehmen abdecken. </w:t>
                              </w:r>
                              <w:r>
                                <w:rPr>
                                  <w:rStyle w:val="Fett"/>
                                  <w:rFonts w:ascii="Helvetica" w:hAnsi="Helvetica" w:cs="Helvetica"/>
                                </w:rPr>
                                <w:t xml:space="preserve">Die nötigen Eckpunkte werden in </w:t>
                              </w:r>
                              <w:r>
                                <w:rPr>
                                  <w:rStyle w:val="Fett"/>
                                  <w:rFonts w:ascii="Helvetica" w:hAnsi="Helvetica" w:cs="Helvetica"/>
                                </w:rPr>
                                <w:lastRenderedPageBreak/>
                                <w:t>einer Notverordnung festgelegt, die Mitte nächste Woche verabschiedet und veröffentlicht wird. Fragen von Betroffenen zu Modalitäten der Einreichung dieser Gesuche können erst ab dann beantwortet werden.</w:t>
                              </w:r>
                            </w:p>
                            <w:p w:rsidR="00627E45" w:rsidRDefault="00627E45" w:rsidP="00627E45">
                              <w:pPr>
                                <w:pStyle w:val="StandardWeb"/>
                              </w:pPr>
                              <w:r>
                                <w:rPr>
                                  <w:rStyle w:val="Fett"/>
                                  <w:rFonts w:ascii="Helvetica" w:hAnsi="Helvetica" w:cs="Helvetica"/>
                                </w:rPr>
                                <w:t>Sobald die genauen Einzelheiten bekannt sind, werden wir Sie über unseren Newsletter und die Webseite coiffuresuisse.ch informieren.</w:t>
                              </w:r>
                            </w:p>
                            <w:p w:rsidR="00627E45" w:rsidRDefault="00627E45" w:rsidP="00627E45">
                              <w:pPr>
                                <w:pStyle w:val="StandardWeb"/>
                              </w:pPr>
                              <w:r>
                                <w:rPr>
                                  <w:rStyle w:val="Fett"/>
                                  <w:rFonts w:ascii="Helvetica" w:hAnsi="Helvetica" w:cs="Helvetica"/>
                                </w:rPr>
                                <w:t>Zahlungsaufschub bei Sozialversicherungsbeiträgen</w:t>
                              </w:r>
                              <w:r>
                                <w:br/>
                                <w:t>Den von der Krise betroffenen Unternehmen kann ein vorübergehender, zinsloser Zahlungsaufschub für die Beiträge an die Sozialversicherungen (AHV/IV/EO/ALV) gewährt werden. Die Unternehmen haben zudem die Möglichkeit, die Höhe der regelmässigen Akonto Beiträge an die AHV/IV/EO/ALV anpassen zu lassen, wenn die Summe ihrer Löhne wesentlich gesunken ist. Dasselbe gilt für Selbstständige, deren Umsätze eingebrochen sind. Zuständig für die Prüfung der Zahlungsaufschübe und der Reduktion der Akonto Beiträge sind die AHV-Ausgleichskassen.</w:t>
                              </w:r>
                            </w:p>
                            <w:p w:rsidR="00627E45" w:rsidRDefault="00627E45" w:rsidP="00627E45">
                              <w:pPr>
                                <w:pStyle w:val="StandardWeb"/>
                              </w:pPr>
                              <w:r>
                                <w:rPr>
                                  <w:rStyle w:val="Fett"/>
                                  <w:rFonts w:ascii="Helvetica" w:hAnsi="Helvetica" w:cs="Helvetica"/>
                                </w:rPr>
                                <w:t xml:space="preserve">Mitteilung der AHV Ausgleichskasse </w:t>
                              </w:r>
                              <w:proofErr w:type="spellStart"/>
                              <w:r>
                                <w:rPr>
                                  <w:rStyle w:val="Fett"/>
                                  <w:rFonts w:ascii="Helvetica" w:hAnsi="Helvetica" w:cs="Helvetica"/>
                                </w:rPr>
                                <w:t>Coiffure&amp;Esthétique</w:t>
                              </w:r>
                              <w:proofErr w:type="spellEnd"/>
                            </w:p>
                            <w:p w:rsidR="00627E45" w:rsidRDefault="00627E45" w:rsidP="00627E45">
                              <w:pPr>
                                <w:pStyle w:val="StandardWeb"/>
                              </w:pPr>
                              <w:r>
                                <w:rPr>
                                  <w:rStyle w:val="Fett"/>
                                  <w:rFonts w:ascii="Helvetica" w:hAnsi="Helvetica" w:cs="Helvetica"/>
                                </w:rPr>
                                <w:t>Entschädigung für Verdienstausfall im Zusammenhang mit Massnahmen gegen das Coronavirus:</w:t>
                              </w:r>
                              <w:r>
                                <w:br/>
                              </w:r>
                              <w:hyperlink r:id="rId8" w:history="1">
                                <w:r>
                                  <w:rPr>
                                    <w:rStyle w:val="Hyperlink"/>
                                  </w:rPr>
                                  <w:t>https://www.bsv.admin.ch/bsv/de/home/sozialversicherungen/eo-msv/grundlagen-und-gesetze/eo-corona.html</w:t>
                                </w:r>
                              </w:hyperlink>
                            </w:p>
                            <w:p w:rsidR="00627E45" w:rsidRDefault="00627E45" w:rsidP="00627E45">
                              <w:pPr>
                                <w:pStyle w:val="StandardWeb"/>
                              </w:pPr>
                              <w:r>
                                <w:rPr>
                                  <w:rStyle w:val="Fett"/>
                                  <w:rFonts w:ascii="Helvetica" w:hAnsi="Helvetica" w:cs="Helvetica"/>
                                </w:rPr>
                                <w:t xml:space="preserve">Bemerkung: </w:t>
                              </w:r>
                              <w:r>
                                <w:t xml:space="preserve">Trotz aller Bemühungen unseres AHV-Fonds wird das System nicht vor Anfang oder Mitte April voll funktionsfähig sein. Bis dahin können keine Anträge eingereicht und keine Leistungen ausgezahlt werden. Wir möchten den Betroffenen für ihr Verständnis und ihre Geduld danken. Die Informationen werden auf unserer Website regelmässig aktualisiert. </w:t>
                              </w:r>
                              <w:hyperlink r:id="rId9" w:history="1">
                                <w:r>
                                  <w:rPr>
                                    <w:rStyle w:val="Hyperlink"/>
                                  </w:rPr>
                                  <w:t>http://www.ahvpkcoiffure.ch</w:t>
                                </w:r>
                              </w:hyperlink>
                            </w:p>
                            <w:p w:rsidR="00627E45" w:rsidRDefault="00627E45" w:rsidP="00627E45">
                              <w:pPr>
                                <w:pStyle w:val="StandardWeb"/>
                              </w:pPr>
                              <w:r>
                                <w:rPr>
                                  <w:rStyle w:val="Fett"/>
                                  <w:rFonts w:ascii="Helvetica" w:hAnsi="Helvetica" w:cs="Helvetica"/>
                                </w:rPr>
                                <w:t>Stundung der Zahlung von Sozialversicherungsbeiträgen:</w:t>
                              </w:r>
                            </w:p>
                            <w:p w:rsidR="00627E45" w:rsidRDefault="00627E45" w:rsidP="00627E45">
                              <w:pPr>
                                <w:pStyle w:val="StandardWeb"/>
                              </w:pPr>
                              <w:r>
                                <w:rPr>
                                  <w:rStyle w:val="Fett"/>
                                  <w:rFonts w:ascii="Helvetica" w:hAnsi="Helvetica" w:cs="Helvetica"/>
                                </w:rPr>
                                <w:t>Rechtsstillstand gemäss Bundesgesetz über Schuldbetreibung und Konkurs</w:t>
                              </w:r>
                              <w:r>
                                <w:br/>
                                <w:t>Vom 19. März bis und mit 4. April 2020 dürfen Schuldnerinnen und Schuldner in der ganzen Schweiz nicht betrieben werden. Den entsprechenden so genannten Rechtsstillstand im Betreibungswesen hat der Bundesrat an seiner Sitzung vom 18. März 2020 angeordnet.</w:t>
                              </w:r>
                            </w:p>
                            <w:p w:rsidR="00627E45" w:rsidRDefault="00627E45" w:rsidP="00627E45">
                              <w:pPr>
                                <w:pStyle w:val="StandardWeb"/>
                              </w:pPr>
                              <w:r>
                                <w:rPr>
                                  <w:rStyle w:val="Fett"/>
                                  <w:rFonts w:ascii="Helvetica" w:hAnsi="Helvetica" w:cs="Helvetica"/>
                                </w:rPr>
                                <w:t>Ausweitung und Vereinfachung der Kurzarbeit</w:t>
                              </w:r>
                              <w:r>
                                <w:br/>
                                <w:t>Das Instrument der Kurzarbeitsentschädigungen (KAE) ermöglicht, vorübergehende Beschäftigungseinbrüche auszugleichen und die Arbeitsplätze zu erhalten. Durch die aktuelle wirtschaftliche Ausnahmesituation sind auch Personen, welche befristet, temporär oder in arbeitgeberähnlichen Anstellungen arbeiten sowie Personen, die in einem Lehrverhältnis stehen, stark betroffen. Deshalb sollen die Ansprüche auf Kurzarbeitsentschädigung ausgeweitet und die Beantragung vereinfacht werden:</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Neu kann die Kurzarbeitsentschädigung auch für Angestellte in befristeten Arbeitsverhältnissen und für Personen </w:t>
                              </w:r>
                              <w:proofErr w:type="gramStart"/>
                              <w:r>
                                <w:rPr>
                                  <w:rFonts w:ascii="Helvetica" w:eastAsia="Times New Roman" w:hAnsi="Helvetica" w:cs="Helvetica"/>
                                  <w:color w:val="222222"/>
                                  <w:sz w:val="21"/>
                                  <w:szCs w:val="21"/>
                                </w:rPr>
                                <w:t>im Dienste</w:t>
                              </w:r>
                              <w:proofErr w:type="gramEnd"/>
                              <w:r>
                                <w:rPr>
                                  <w:rFonts w:ascii="Helvetica" w:eastAsia="Times New Roman" w:hAnsi="Helvetica" w:cs="Helvetica"/>
                                  <w:color w:val="222222"/>
                                  <w:sz w:val="21"/>
                                  <w:szCs w:val="21"/>
                                </w:rPr>
                                <w:t xml:space="preserve"> einer Organisation für Temporärarbeit ausgerichtet werden.</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Neu soll der Arbeitsausfall auch für Personen, die in einem Lehrverhältnis stehen, anrechenbar werden.  </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Ausserdem kann Kurzarbeitsentschädigung neu auch für arbeitgeberähnliche Angestellte ausgerichtet werden. Als arbeitgeberähnliche Angestellte gelten z.B. </w:t>
                              </w:r>
                              <w:r>
                                <w:rPr>
                                  <w:rFonts w:ascii="Helvetica" w:eastAsia="Times New Roman" w:hAnsi="Helvetica" w:cs="Helvetica"/>
                                  <w:color w:val="222222"/>
                                  <w:sz w:val="21"/>
                                  <w:szCs w:val="21"/>
                                </w:rPr>
                                <w:lastRenderedPageBreak/>
                                <w:t xml:space="preserve">Gesellschafter einer </w:t>
                              </w:r>
                              <w:proofErr w:type="spellStart"/>
                              <w:r>
                                <w:rPr>
                                  <w:rFonts w:ascii="Helvetica" w:eastAsia="Times New Roman" w:hAnsi="Helvetica" w:cs="Helvetica"/>
                                  <w:color w:val="222222"/>
                                  <w:sz w:val="21"/>
                                  <w:szCs w:val="21"/>
                                </w:rPr>
                                <w:t>Gmbh</w:t>
                              </w:r>
                              <w:proofErr w:type="spellEnd"/>
                              <w:r>
                                <w:rPr>
                                  <w:rFonts w:ascii="Helvetica" w:eastAsia="Times New Roman" w:hAnsi="Helvetica" w:cs="Helvetica"/>
                                  <w:color w:val="222222"/>
                                  <w:sz w:val="21"/>
                                  <w:szCs w:val="21"/>
                                </w:rPr>
                                <w:t>, welche als Angestellte gegen Entlohnung im Betrieb arbeiten. Personen, die im Betrieb des Ehegatten bzw. des eingetragenen Partners mitarbeiten, können nun auch von Kurzarbeitsentschädigungen profitieren. Sie sollen eine Pauschale von 3320.- Franken als Kurzarbeitsentschädigung für eine Vollzeitstelle geltend machen können.</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Die bereits gesenkte Karenzfrist (Wartefrist) für Kurzarbeitsentschädigungen wird aufgehoben. Damit entfällt die Beteiligung der Arbeitgeber an den Arbeitsausfällen.</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Neu müssen Arbeitnehmer nicht mehr zuerst ihre Überstunden abbauen, bevor sie von Kurzarbeitsentschädigungen profitieren können.</w:t>
                              </w:r>
                            </w:p>
                            <w:p w:rsidR="00627E45" w:rsidRDefault="00627E45" w:rsidP="00627E45">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Im Bereich der Abwicklung der Gesuche sowie der Zahlungen von Kurzarbeit wurden </w:t>
                              </w:r>
                              <w:proofErr w:type="gramStart"/>
                              <w:r>
                                <w:rPr>
                                  <w:rFonts w:ascii="Helvetica" w:eastAsia="Times New Roman" w:hAnsi="Helvetica" w:cs="Helvetica"/>
                                  <w:color w:val="222222"/>
                                  <w:sz w:val="21"/>
                                  <w:szCs w:val="21"/>
                                </w:rPr>
                                <w:t>ferner noch</w:t>
                              </w:r>
                              <w:proofErr w:type="gramEnd"/>
                              <w:r>
                                <w:rPr>
                                  <w:rFonts w:ascii="Helvetica" w:eastAsia="Times New Roman" w:hAnsi="Helvetica" w:cs="Helvetica"/>
                                  <w:color w:val="222222"/>
                                  <w:sz w:val="21"/>
                                  <w:szCs w:val="21"/>
                                </w:rPr>
                                <w:t xml:space="preserve"> dringliche Vereinfachungen mit der Verabschiedung neuer Bestimmungen vorgenommen. Damit wird bspw. eine Bevorschussung von fälligen Lohnzahlungen via KAE möglich. </w:t>
                              </w:r>
                            </w:p>
                            <w:p w:rsidR="00627E45" w:rsidRDefault="00627E45" w:rsidP="00627E45">
                              <w:pPr>
                                <w:pStyle w:val="StandardWeb"/>
                              </w:pPr>
                              <w:r>
                                <w:rPr>
                                  <w:rStyle w:val="Fett"/>
                                  <w:rFonts w:ascii="Helvetica" w:hAnsi="Helvetica" w:cs="Helvetica"/>
                                </w:rPr>
                                <w:t>Entschädigung bei Erwerbsausfällen für Selbständige</w:t>
                              </w:r>
                              <w:r>
                                <w:br/>
                              </w:r>
                              <w:proofErr w:type="gramStart"/>
                              <w:r>
                                <w:t>Selbständig</w:t>
                              </w:r>
                              <w:proofErr w:type="gramEnd"/>
                              <w:r>
                                <w:t xml:space="preserve"> Erwerbende, die wegen behördlichen Massnahmen zur Bekämpfung des Coronavirus Erwerbsausfälle erleiden, werden entschädigt, sofern nicht bereits eine Entschädigung oder Versicherungsleistung besteht. Eine Entschädigung ist für folgende Fälle vorgesehen:</w:t>
                              </w:r>
                            </w:p>
                            <w:p w:rsidR="00627E45" w:rsidRDefault="00627E45" w:rsidP="00627E45">
                              <w:pPr>
                                <w:numPr>
                                  <w:ilvl w:val="0"/>
                                  <w:numId w:val="2"/>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Schulschliessungen</w:t>
                              </w:r>
                            </w:p>
                            <w:p w:rsidR="00627E45" w:rsidRDefault="00627E45" w:rsidP="00627E45">
                              <w:pPr>
                                <w:numPr>
                                  <w:ilvl w:val="0"/>
                                  <w:numId w:val="2"/>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Ärztlich verordnete Quarantäne</w:t>
                              </w:r>
                            </w:p>
                            <w:p w:rsidR="00627E45" w:rsidRDefault="00627E45" w:rsidP="00627E45">
                              <w:pPr>
                                <w:numPr>
                                  <w:ilvl w:val="0"/>
                                  <w:numId w:val="2"/>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Schliessung eines selbstständig geführten öffentlich zugänglichen Betriebes</w:t>
                              </w:r>
                            </w:p>
                            <w:p w:rsidR="00627E45" w:rsidRDefault="00627E45" w:rsidP="00627E45">
                              <w:pPr>
                                <w:pStyle w:val="StandardWeb"/>
                              </w:pPr>
                              <w:r>
                                <w:t>Die Entschädigungen werden in Anlehnung an die Erwerbsersatzordnung geregelt und als Taggeld ausgerichtet. Dieses entspricht 80 Prozent des Einkommens und beträgt höchstens 196 Franken pro Tag. Die Anzahl Taggelder für Selbstständige in Quarantäne oder mit Betreuungsaufgaben ist auf 10, respektive 30 befristet. Die Prüfung des Anspruches und die Auszahlung der Leistung wird von den AHV-Ausgleichskassen vorgenommen.</w:t>
                              </w:r>
                            </w:p>
                            <w:p w:rsidR="00627E45" w:rsidRDefault="00627E45" w:rsidP="00627E45">
                              <w:pPr>
                                <w:pStyle w:val="StandardWeb"/>
                              </w:pPr>
                              <w:r>
                                <w:rPr>
                                  <w:rStyle w:val="Fett"/>
                                  <w:rFonts w:ascii="Helvetica" w:hAnsi="Helvetica" w:cs="Helvetica"/>
                                </w:rPr>
                                <w:t>Entschädigung bei Erwerbsausfällen für Angestellte</w:t>
                              </w:r>
                              <w:r>
                                <w:br/>
                                <w:t>Anspruch auf eine Entschädigung haben Eltern, die ihre Erwerbsarbeit aufgrund von Schulschliessungen unterbrechen müssen, um ihre Kinder zu betreuen. Anspruch auf die Entschädigung gibt es ebenfalls bei einem Erwerbsunterbruch aufgrund von einer durch einen Arzt verordneten Quarantäne. Wie für die Selbstständigen werden die Erwerbsausfälle in Anlehnung an die Erwerbsersatzordnung (EO; Erwerbsersatz bei Dienstleistung oder Mutterschaft) geregelt und als Taggeld ausgerichtet. Dieses entspricht 80 Prozent des Einkommens und beträgt höchstens 196 Franken pro Tag. Die Entschädigung ist auf 10 Taggelder für Personen in Quarantänemassnahmen begrenzt.</w:t>
                              </w:r>
                            </w:p>
                            <w:p w:rsidR="00627E45" w:rsidRDefault="00627E45" w:rsidP="00627E45">
                              <w:pPr>
                                <w:pStyle w:val="StandardWeb"/>
                              </w:pPr>
                              <w:r>
                                <w:rPr>
                                  <w:rStyle w:val="Fett"/>
                                  <w:rFonts w:ascii="Helvetica" w:hAnsi="Helvetica" w:cs="Helvetica"/>
                                </w:rPr>
                                <w:t>Weitere Informationen</w:t>
                              </w:r>
                              <w:r>
                                <w:br/>
                              </w:r>
                              <w:hyperlink r:id="rId10" w:history="1">
                                <w:r>
                                  <w:rPr>
                                    <w:rStyle w:val="Hyperlink"/>
                                  </w:rPr>
                                  <w:t>https://www.seco.admin.ch/seco/de/home/seco/nsb-news.msg-id-78515.html</w:t>
                                </w:r>
                              </w:hyperlink>
                            </w:p>
                            <w:p w:rsidR="00627E45" w:rsidRDefault="00627E45" w:rsidP="00627E45">
                              <w:pPr>
                                <w:pStyle w:val="StandardWeb"/>
                              </w:pPr>
                              <w:r>
                                <w:t>Liebe Mitglieder und Kollegen, dies sind beispiellose Zeiten. Wir stehen alle unter Druck. Aber es ist eine Priorität, dass diese Pandemie so schnell wie möglich gestoppt wird. Respektieren Sie gesundheitliche Massnahmen und die verordneten sozialen Distanzen und ermutigen Sie Ihre Mitmenschen, diese ebenfalls zu respektieren.</w:t>
                              </w:r>
                            </w:p>
                            <w:p w:rsidR="00627E45" w:rsidRDefault="00627E45" w:rsidP="00627E45">
                              <w:pPr>
                                <w:pStyle w:val="StandardWeb"/>
                              </w:pPr>
                              <w:r>
                                <w:lastRenderedPageBreak/>
                                <w:t>Mit freundlichen Grüssen</w:t>
                              </w:r>
                              <w:r>
                                <w:br/>
                              </w:r>
                              <w:r>
                                <w:rPr>
                                  <w:rStyle w:val="Hervorhebung"/>
                                  <w:rFonts w:ascii="Helvetica" w:hAnsi="Helvetica" w:cs="Helvetica"/>
                                </w:rPr>
                                <w:t xml:space="preserve">Damien </w:t>
                              </w:r>
                              <w:proofErr w:type="spellStart"/>
                              <w:r>
                                <w:rPr>
                                  <w:rStyle w:val="Hervorhebung"/>
                                  <w:rFonts w:ascii="Helvetica" w:hAnsi="Helvetica" w:cs="Helvetica"/>
                                </w:rPr>
                                <w:t>Ojetti</w:t>
                              </w:r>
                              <w:proofErr w:type="spellEnd"/>
                              <w:r>
                                <w:rPr>
                                  <w:rStyle w:val="Hervorhebung"/>
                                  <w:rFonts w:ascii="Helvetica" w:hAnsi="Helvetica" w:cs="Helvetica"/>
                                </w:rPr>
                                <w:t>, Zentralpräsident</w:t>
                              </w:r>
                            </w:p>
                          </w:tc>
                          <w:tc>
                            <w:tcPr>
                              <w:tcW w:w="6" w:type="dxa"/>
                              <w:hideMark/>
                            </w:tcPr>
                            <w:p w:rsidR="00627E45" w:rsidRDefault="00627E45" w:rsidP="00627E45"/>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spacing w:line="285" w:lineRule="atLeast"/>
                    <w:rPr>
                      <w:rFonts w:ascii="Helvetica" w:hAnsi="Helvetica" w:cs="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9072"/>
                  </w:tblGrid>
                  <w:tr w:rsidR="00627E4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E45">
                          <w:tc>
                            <w:tcPr>
                              <w:tcW w:w="0" w:type="auto"/>
                              <w:tcMar>
                                <w:top w:w="0" w:type="dxa"/>
                                <w:left w:w="0" w:type="dxa"/>
                                <w:bottom w:w="150" w:type="dxa"/>
                                <w:right w:w="0" w:type="dxa"/>
                              </w:tcMar>
                              <w:hideMark/>
                            </w:tcPr>
                            <w:p w:rsidR="00627E45" w:rsidRDefault="00627E45" w:rsidP="00627E45">
                              <w:pPr>
                                <w:spacing w:line="285" w:lineRule="atLeast"/>
                                <w:rPr>
                                  <w:rFonts w:ascii="Helvetica" w:hAnsi="Helvetica" w:cs="Helvetica"/>
                                  <w:color w:val="222222"/>
                                  <w:sz w:val="21"/>
                                  <w:szCs w:val="21"/>
                                </w:rPr>
                              </w:pPr>
                              <w:r>
                                <w:rPr>
                                  <w:rFonts w:ascii="Helvetica" w:hAnsi="Helvetica" w:cs="Helvetica"/>
                                  <w:color w:val="222222"/>
                                  <w:sz w:val="21"/>
                                  <w:szCs w:val="21"/>
                                </w:rPr>
                                <w:t> </w:t>
                              </w:r>
                            </w:p>
                          </w:tc>
                          <w:tc>
                            <w:tcPr>
                              <w:tcW w:w="6" w:type="dxa"/>
                              <w:hideMark/>
                            </w:tcPr>
                            <w:p w:rsidR="00627E45" w:rsidRDefault="00627E45" w:rsidP="00627E45">
                              <w:pPr>
                                <w:rPr>
                                  <w:rFonts w:ascii="Helvetica" w:hAnsi="Helvetica" w:cs="Helvetica"/>
                                  <w:color w:val="222222"/>
                                  <w:sz w:val="21"/>
                                  <w:szCs w:val="21"/>
                                </w:rPr>
                              </w:pPr>
                            </w:p>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spacing w:line="285" w:lineRule="atLeast"/>
                    <w:rPr>
                      <w:rFonts w:ascii="Helvetica" w:hAnsi="Helvetica" w:cs="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9072"/>
                  </w:tblGrid>
                  <w:tr w:rsidR="00627E4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627E45">
                          <w:tc>
                            <w:tcPr>
                              <w:tcW w:w="0" w:type="auto"/>
                              <w:tcMar>
                                <w:top w:w="0" w:type="dxa"/>
                                <w:left w:w="150" w:type="dxa"/>
                                <w:bottom w:w="150" w:type="dxa"/>
                                <w:right w:w="150" w:type="dxa"/>
                              </w:tcMar>
                              <w:hideMark/>
                            </w:tcPr>
                            <w:p w:rsidR="00627E45" w:rsidRDefault="00627E45" w:rsidP="00627E45">
                              <w:pPr>
                                <w:spacing w:line="285" w:lineRule="atLeast"/>
                                <w:jc w:val="center"/>
                                <w:rPr>
                                  <w:rFonts w:ascii="Helvetica" w:hAnsi="Helvetica" w:cs="Helvetica"/>
                                  <w:color w:val="222222"/>
                                  <w:sz w:val="17"/>
                                  <w:szCs w:val="17"/>
                                </w:rPr>
                              </w:pPr>
                              <w:proofErr w:type="spellStart"/>
                              <w:r>
                                <w:rPr>
                                  <w:rStyle w:val="Hervorhebung"/>
                                  <w:rFonts w:ascii="Helvetica" w:hAnsi="Helvetica" w:cs="Helvetica"/>
                                  <w:b/>
                                  <w:bCs/>
                                  <w:color w:val="222222"/>
                                  <w:sz w:val="21"/>
                                  <w:szCs w:val="21"/>
                                </w:rPr>
                                <w:t>coiffure</w:t>
                              </w:r>
                              <w:r>
                                <w:rPr>
                                  <w:rStyle w:val="address-logo-suisse1"/>
                                  <w:rFonts w:ascii="Helvetica" w:hAnsi="Helvetica" w:cs="Helvetica"/>
                                  <w:sz w:val="17"/>
                                  <w:szCs w:val="17"/>
                                </w:rPr>
                                <w:t>SUISSE</w:t>
                              </w:r>
                              <w:proofErr w:type="spellEnd"/>
                              <w:r>
                                <w:rPr>
                                  <w:rFonts w:ascii="Helvetica" w:hAnsi="Helvetica" w:cs="Helvetica"/>
                                  <w:color w:val="222222"/>
                                  <w:sz w:val="17"/>
                                  <w:szCs w:val="17"/>
                                </w:rPr>
                                <w:t> Verband Schweizer </w:t>
                              </w:r>
                              <w:proofErr w:type="spellStart"/>
                              <w:r>
                                <w:rPr>
                                  <w:rFonts w:ascii="Helvetica" w:hAnsi="Helvetica" w:cs="Helvetica"/>
                                  <w:color w:val="222222"/>
                                  <w:sz w:val="17"/>
                                  <w:szCs w:val="17"/>
                                </w:rPr>
                                <w:t>Coiffuregeschäfte</w:t>
                              </w:r>
                              <w:proofErr w:type="spellEnd"/>
                              <w:r>
                                <w:rPr>
                                  <w:rFonts w:ascii="Helvetica" w:hAnsi="Helvetica" w:cs="Helvetica"/>
                                  <w:color w:val="222222"/>
                                  <w:sz w:val="17"/>
                                  <w:szCs w:val="17"/>
                                </w:rPr>
                                <w:t xml:space="preserve">, </w:t>
                              </w:r>
                              <w:hyperlink r:id="rId11" w:history="1">
                                <w:r>
                                  <w:rPr>
                                    <w:rStyle w:val="Hyperlink"/>
                                    <w:sz w:val="17"/>
                                    <w:szCs w:val="17"/>
                                  </w:rPr>
                                  <w:t>www.coiffuresuisse.ch</w:t>
                                </w:r>
                              </w:hyperlink>
                              <w:r>
                                <w:rPr>
                                  <w:rFonts w:ascii="Helvetica" w:hAnsi="Helvetica" w:cs="Helvetica"/>
                                  <w:color w:val="222222"/>
                                  <w:sz w:val="17"/>
                                  <w:szCs w:val="17"/>
                                </w:rPr>
                                <w:t>,</w:t>
                              </w:r>
                              <w:r>
                                <w:rPr>
                                  <w:rFonts w:ascii="Helvetica" w:hAnsi="Helvetica" w:cs="Helvetica"/>
                                  <w:color w:val="222222"/>
                                  <w:sz w:val="17"/>
                                  <w:szCs w:val="17"/>
                                </w:rPr>
                                <w:br/>
                              </w:r>
                              <w:hyperlink r:id="rId12" w:history="1">
                                <w:r>
                                  <w:rPr>
                                    <w:rStyle w:val="Hyperlink"/>
                                    <w:sz w:val="17"/>
                                    <w:szCs w:val="17"/>
                                  </w:rPr>
                                  <w:t>mail@coiffuresuisse.ch</w:t>
                                </w:r>
                              </w:hyperlink>
                              <w:r>
                                <w:rPr>
                                  <w:rFonts w:ascii="Helvetica" w:hAnsi="Helvetica" w:cs="Helvetica"/>
                                  <w:color w:val="222222"/>
                                  <w:sz w:val="17"/>
                                  <w:szCs w:val="17"/>
                                </w:rPr>
                                <w:t xml:space="preserve">, Moserstrasse 52, Postfach 641, 3000 Bern 22, Tel. 031 332 79 42 </w:t>
                              </w:r>
                            </w:p>
                          </w:tc>
                          <w:tc>
                            <w:tcPr>
                              <w:tcW w:w="6" w:type="dxa"/>
                              <w:hideMark/>
                            </w:tcPr>
                            <w:p w:rsidR="00627E45" w:rsidRDefault="00627E45" w:rsidP="00627E45">
                              <w:pPr>
                                <w:rPr>
                                  <w:rFonts w:ascii="Helvetica" w:hAnsi="Helvetica" w:cs="Helvetica"/>
                                  <w:color w:val="222222"/>
                                  <w:sz w:val="17"/>
                                  <w:szCs w:val="17"/>
                                </w:rPr>
                              </w:pPr>
                            </w:p>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spacing w:line="285" w:lineRule="atLeast"/>
                    <w:rPr>
                      <w:rFonts w:ascii="Helvetica" w:hAnsi="Helvetica" w:cs="Helvetica"/>
                      <w:vanish/>
                      <w:color w:val="222222"/>
                      <w:sz w:val="21"/>
                      <w:szCs w:val="21"/>
                    </w:rPr>
                  </w:pPr>
                </w:p>
                <w:tbl>
                  <w:tblPr>
                    <w:tblW w:w="5000" w:type="pct"/>
                    <w:shd w:val="clear" w:color="auto" w:fill="333333"/>
                    <w:tblCellMar>
                      <w:left w:w="0" w:type="dxa"/>
                      <w:right w:w="0" w:type="dxa"/>
                    </w:tblCellMar>
                    <w:tblLook w:val="04A0" w:firstRow="1" w:lastRow="0" w:firstColumn="1" w:lastColumn="0" w:noHBand="0" w:noVBand="1"/>
                  </w:tblPr>
                  <w:tblGrid>
                    <w:gridCol w:w="782"/>
                    <w:gridCol w:w="7821"/>
                    <w:gridCol w:w="469"/>
                  </w:tblGrid>
                  <w:tr w:rsidR="00627E45">
                    <w:tc>
                      <w:tcPr>
                        <w:tcW w:w="0" w:type="auto"/>
                        <w:shd w:val="clear" w:color="auto" w:fill="333333"/>
                        <w:tcMar>
                          <w:top w:w="150" w:type="dxa"/>
                          <w:left w:w="0" w:type="dxa"/>
                          <w:bottom w:w="0" w:type="dxa"/>
                          <w:right w:w="300" w:type="dxa"/>
                        </w:tcMar>
                        <w:hideMark/>
                      </w:tcPr>
                      <w:tbl>
                        <w:tblPr>
                          <w:tblW w:w="450" w:type="dxa"/>
                          <w:tblCellMar>
                            <w:left w:w="0" w:type="dxa"/>
                            <w:right w:w="0" w:type="dxa"/>
                          </w:tblCellMar>
                          <w:tblLook w:val="04A0" w:firstRow="1" w:lastRow="0" w:firstColumn="1" w:lastColumn="0" w:noHBand="0" w:noVBand="1"/>
                        </w:tblPr>
                        <w:tblGrid>
                          <w:gridCol w:w="444"/>
                          <w:gridCol w:w="6"/>
                        </w:tblGrid>
                        <w:tr w:rsidR="00627E45">
                          <w:tc>
                            <w:tcPr>
                              <w:tcW w:w="0" w:type="auto"/>
                              <w:tcMar>
                                <w:top w:w="0" w:type="dxa"/>
                                <w:left w:w="0" w:type="dxa"/>
                                <w:bottom w:w="150" w:type="dxa"/>
                                <w:right w:w="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color w:val="FFFFFF"/>
                                  <w:sz w:val="21"/>
                                  <w:szCs w:val="21"/>
                                </w:rPr>
                                <w:t> </w:t>
                              </w:r>
                            </w:p>
                          </w:tc>
                          <w:tc>
                            <w:tcPr>
                              <w:tcW w:w="6" w:type="dxa"/>
                              <w:hideMark/>
                            </w:tcPr>
                            <w:p w:rsidR="00627E45" w:rsidRDefault="00627E45" w:rsidP="00627E45">
                              <w:pPr>
                                <w:rPr>
                                  <w:rFonts w:ascii="Helvetica" w:hAnsi="Helvetica" w:cs="Helvetica"/>
                                  <w:color w:val="FFFFFF"/>
                                  <w:sz w:val="21"/>
                                  <w:szCs w:val="21"/>
                                </w:rPr>
                              </w:pPr>
                            </w:p>
                          </w:tc>
                        </w:tr>
                      </w:tbl>
                      <w:p w:rsidR="00627E45" w:rsidRDefault="00627E45" w:rsidP="00627E45">
                        <w:pPr>
                          <w:rPr>
                            <w:rFonts w:ascii="Times New Roman" w:eastAsia="Times New Roman" w:hAnsi="Times New Roman" w:cs="Times New Roman"/>
                            <w:sz w:val="20"/>
                            <w:szCs w:val="20"/>
                          </w:rPr>
                        </w:pPr>
                      </w:p>
                    </w:tc>
                    <w:tc>
                      <w:tcPr>
                        <w:tcW w:w="0" w:type="auto"/>
                        <w:shd w:val="clear" w:color="auto" w:fill="333333"/>
                        <w:tcMar>
                          <w:top w:w="150" w:type="dxa"/>
                          <w:left w:w="0" w:type="dxa"/>
                          <w:bottom w:w="0" w:type="dxa"/>
                          <w:right w:w="300" w:type="dxa"/>
                        </w:tcMar>
                        <w:hideMark/>
                      </w:tcPr>
                      <w:tbl>
                        <w:tblPr>
                          <w:tblW w:w="7200" w:type="dxa"/>
                          <w:tblCellMar>
                            <w:left w:w="0" w:type="dxa"/>
                            <w:right w:w="0" w:type="dxa"/>
                          </w:tblCellMar>
                          <w:tblLook w:val="04A0" w:firstRow="1" w:lastRow="0" w:firstColumn="1" w:lastColumn="0" w:noHBand="0" w:noVBand="1"/>
                        </w:tblPr>
                        <w:tblGrid>
                          <w:gridCol w:w="1800"/>
                          <w:gridCol w:w="1800"/>
                          <w:gridCol w:w="1800"/>
                          <w:gridCol w:w="1800"/>
                        </w:tblGrid>
                        <w:tr w:rsidR="00627E45">
                          <w:tc>
                            <w:tcPr>
                              <w:tcW w:w="416" w:type="pct"/>
                              <w:tcMar>
                                <w:top w:w="0" w:type="dxa"/>
                                <w:left w:w="0" w:type="dxa"/>
                                <w:bottom w:w="150" w:type="dxa"/>
                                <w:right w:w="15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noProof/>
                                  <w:color w:val="222222"/>
                                  <w:sz w:val="21"/>
                                  <w:szCs w:val="21"/>
                                </w:rPr>
                                <w:drawing>
                                  <wp:inline distT="0" distB="0" distL="0" distR="0">
                                    <wp:extent cx="573405" cy="573405"/>
                                    <wp:effectExtent l="0" t="0" r="0" b="0"/>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416" w:type="pct"/>
                              <w:tcMar>
                                <w:top w:w="0" w:type="dxa"/>
                                <w:left w:w="0" w:type="dxa"/>
                                <w:bottom w:w="150" w:type="dxa"/>
                                <w:right w:w="15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noProof/>
                                  <w:color w:val="222222"/>
                                  <w:sz w:val="21"/>
                                  <w:szCs w:val="21"/>
                                </w:rPr>
                                <w:drawing>
                                  <wp:inline distT="0" distB="0" distL="0" distR="0">
                                    <wp:extent cx="573405" cy="573405"/>
                                    <wp:effectExtent l="0" t="0" r="0" b="0"/>
                                    <wp:docPr id="11" name="Grafik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416" w:type="pct"/>
                              <w:tcMar>
                                <w:top w:w="0" w:type="dxa"/>
                                <w:left w:w="0" w:type="dxa"/>
                                <w:bottom w:w="150" w:type="dxa"/>
                                <w:right w:w="15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noProof/>
                                  <w:color w:val="222222"/>
                                  <w:sz w:val="21"/>
                                  <w:szCs w:val="21"/>
                                </w:rPr>
                                <w:drawing>
                                  <wp:inline distT="0" distB="0" distL="0" distR="0">
                                    <wp:extent cx="573405" cy="573405"/>
                                    <wp:effectExtent l="0" t="0" r="0" b="0"/>
                                    <wp:docPr id="10" name="Grafik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416" w:type="pct"/>
                              <w:tcMar>
                                <w:top w:w="0" w:type="dxa"/>
                                <w:left w:w="0" w:type="dxa"/>
                                <w:bottom w:w="150" w:type="dxa"/>
                                <w:right w:w="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noProof/>
                                  <w:color w:val="222222"/>
                                  <w:sz w:val="21"/>
                                  <w:szCs w:val="21"/>
                                </w:rPr>
                                <w:drawing>
                                  <wp:inline distT="0" distB="0" distL="0" distR="0">
                                    <wp:extent cx="573405" cy="573405"/>
                                    <wp:effectExtent l="0" t="0" r="0" b="0"/>
                                    <wp:docPr id="9" name="Grafik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r>
                      </w:tbl>
                      <w:p w:rsidR="00627E45" w:rsidRDefault="00627E45" w:rsidP="00627E45">
                        <w:pPr>
                          <w:rPr>
                            <w:rFonts w:ascii="Times New Roman" w:eastAsia="Times New Roman" w:hAnsi="Times New Roman" w:cs="Times New Roman"/>
                            <w:sz w:val="20"/>
                            <w:szCs w:val="20"/>
                          </w:rPr>
                        </w:pPr>
                      </w:p>
                    </w:tc>
                    <w:tc>
                      <w:tcPr>
                        <w:tcW w:w="0" w:type="auto"/>
                        <w:shd w:val="clear" w:color="auto" w:fill="333333"/>
                        <w:tcMar>
                          <w:top w:w="150" w:type="dxa"/>
                          <w:left w:w="0" w:type="dxa"/>
                          <w:bottom w:w="0" w:type="dxa"/>
                          <w:right w:w="0" w:type="dxa"/>
                        </w:tcMar>
                        <w:hideMark/>
                      </w:tcPr>
                      <w:tbl>
                        <w:tblPr>
                          <w:tblW w:w="450" w:type="dxa"/>
                          <w:tblCellMar>
                            <w:left w:w="0" w:type="dxa"/>
                            <w:right w:w="0" w:type="dxa"/>
                          </w:tblCellMar>
                          <w:tblLook w:val="04A0" w:firstRow="1" w:lastRow="0" w:firstColumn="1" w:lastColumn="0" w:noHBand="0" w:noVBand="1"/>
                        </w:tblPr>
                        <w:tblGrid>
                          <w:gridCol w:w="444"/>
                          <w:gridCol w:w="6"/>
                        </w:tblGrid>
                        <w:tr w:rsidR="00627E45">
                          <w:tc>
                            <w:tcPr>
                              <w:tcW w:w="0" w:type="auto"/>
                              <w:tcMar>
                                <w:top w:w="0" w:type="dxa"/>
                                <w:left w:w="0" w:type="dxa"/>
                                <w:bottom w:w="150" w:type="dxa"/>
                                <w:right w:w="0" w:type="dxa"/>
                              </w:tcMar>
                              <w:hideMark/>
                            </w:tcPr>
                            <w:p w:rsidR="00627E45" w:rsidRDefault="00627E45" w:rsidP="00627E45">
                              <w:pPr>
                                <w:spacing w:line="285" w:lineRule="atLeast"/>
                                <w:rPr>
                                  <w:rFonts w:ascii="Helvetica" w:hAnsi="Helvetica" w:cs="Helvetica"/>
                                  <w:color w:val="FFFFFF"/>
                                  <w:sz w:val="21"/>
                                  <w:szCs w:val="21"/>
                                </w:rPr>
                              </w:pPr>
                              <w:r>
                                <w:rPr>
                                  <w:rFonts w:ascii="Helvetica" w:hAnsi="Helvetica" w:cs="Helvetica"/>
                                  <w:color w:val="FFFFFF"/>
                                  <w:sz w:val="21"/>
                                  <w:szCs w:val="21"/>
                                </w:rPr>
                                <w:t> </w:t>
                              </w:r>
                            </w:p>
                          </w:tc>
                          <w:tc>
                            <w:tcPr>
                              <w:tcW w:w="6" w:type="dxa"/>
                              <w:hideMark/>
                            </w:tcPr>
                            <w:p w:rsidR="00627E45" w:rsidRDefault="00627E45" w:rsidP="00627E45">
                              <w:pPr>
                                <w:rPr>
                                  <w:rFonts w:ascii="Helvetica" w:hAnsi="Helvetica" w:cs="Helvetica"/>
                                  <w:color w:val="FFFFFF"/>
                                  <w:sz w:val="21"/>
                                  <w:szCs w:val="21"/>
                                </w:rPr>
                              </w:pPr>
                            </w:p>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spacing w:line="285" w:lineRule="atLeast"/>
                    <w:rPr>
                      <w:rFonts w:ascii="Helvetica" w:hAnsi="Helvetica" w:cs="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9072"/>
                  </w:tblGrid>
                  <w:tr w:rsidR="00627E4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627E45">
                          <w:tc>
                            <w:tcPr>
                              <w:tcW w:w="0" w:type="auto"/>
                              <w:tcMar>
                                <w:top w:w="0" w:type="dxa"/>
                                <w:left w:w="150" w:type="dxa"/>
                                <w:bottom w:w="150" w:type="dxa"/>
                                <w:right w:w="150" w:type="dxa"/>
                              </w:tcMar>
                              <w:hideMark/>
                            </w:tcPr>
                            <w:p w:rsidR="00627E45" w:rsidRDefault="00627E45" w:rsidP="00627E45">
                              <w:pPr>
                                <w:spacing w:line="285" w:lineRule="atLeast"/>
                                <w:rPr>
                                  <w:rFonts w:ascii="Helvetica" w:hAnsi="Helvetica" w:cs="Helvetica"/>
                                  <w:color w:val="222222"/>
                                  <w:sz w:val="15"/>
                                  <w:szCs w:val="15"/>
                                </w:rPr>
                              </w:pPr>
                              <w:hyperlink r:id="rId21" w:history="1">
                                <w:r>
                                  <w:rPr>
                                    <w:rStyle w:val="Hyperlink"/>
                                    <w:sz w:val="15"/>
                                    <w:szCs w:val="15"/>
                                  </w:rPr>
                                  <w:t>Newsletter abmelden</w:t>
                                </w:r>
                              </w:hyperlink>
                              <w:r>
                                <w:rPr>
                                  <w:rFonts w:ascii="Helvetica" w:hAnsi="Helvetica" w:cs="Helvetica"/>
                                  <w:color w:val="222222"/>
                                  <w:sz w:val="15"/>
                                  <w:szCs w:val="15"/>
                                </w:rPr>
                                <w:t xml:space="preserve"> | </w:t>
                              </w:r>
                              <w:hyperlink r:id="rId22" w:history="1">
                                <w:r>
                                  <w:rPr>
                                    <w:rStyle w:val="Hyperlink"/>
                                    <w:sz w:val="15"/>
                                    <w:szCs w:val="15"/>
                                  </w:rPr>
                                  <w:t>Webversion</w:t>
                                </w:r>
                              </w:hyperlink>
                              <w:r>
                                <w:rPr>
                                  <w:rFonts w:ascii="Helvetica" w:hAnsi="Helvetica" w:cs="Helvetica"/>
                                  <w:color w:val="222222"/>
                                  <w:sz w:val="15"/>
                                  <w:szCs w:val="15"/>
                                </w:rPr>
                                <w:t xml:space="preserve"> </w:t>
                              </w:r>
                            </w:p>
                          </w:tc>
                        </w:tr>
                      </w:tbl>
                      <w:p w:rsidR="00627E45" w:rsidRDefault="00627E45" w:rsidP="00627E45">
                        <w:pPr>
                          <w:rPr>
                            <w:rFonts w:ascii="Times New Roman" w:eastAsia="Times New Roman" w:hAnsi="Times New Roman" w:cs="Times New Roman"/>
                            <w:sz w:val="20"/>
                            <w:szCs w:val="20"/>
                          </w:rPr>
                        </w:pPr>
                      </w:p>
                    </w:tc>
                  </w:tr>
                </w:tbl>
                <w:p w:rsidR="00627E45" w:rsidRDefault="00627E45" w:rsidP="00627E45">
                  <w:pPr>
                    <w:rPr>
                      <w:rFonts w:eastAsia="Times New Roman"/>
                    </w:rPr>
                  </w:pPr>
                </w:p>
              </w:tc>
            </w:tr>
          </w:tbl>
          <w:p w:rsidR="00627E45" w:rsidRDefault="00627E45">
            <w:pPr>
              <w:jc w:val="center"/>
              <w:rPr>
                <w:rFonts w:eastAsia="Times New Roman"/>
              </w:rPr>
            </w:pPr>
          </w:p>
        </w:tc>
      </w:tr>
    </w:tbl>
    <w:p w:rsidR="00627E45" w:rsidRDefault="00627E45" w:rsidP="00627E45">
      <w:pPr>
        <w:spacing w:line="285" w:lineRule="atLeast"/>
        <w:rPr>
          <w:rFonts w:ascii="Helvetica" w:hAnsi="Helvetica" w:cs="Helvetica"/>
          <w:color w:val="222222"/>
          <w:sz w:val="21"/>
          <w:szCs w:val="21"/>
        </w:rPr>
      </w:pPr>
      <w:r>
        <w:rPr>
          <w:rFonts w:ascii="Helvetica" w:hAnsi="Helvetica" w:cs="Helvetica"/>
          <w:noProof/>
          <w:color w:val="222222"/>
          <w:sz w:val="21"/>
          <w:szCs w:val="21"/>
        </w:rPr>
        <w:lastRenderedPageBreak/>
        <mc:AlternateContent>
          <mc:Choice Requires="wps">
            <w:drawing>
              <wp:inline distT="0" distB="0" distL="0" distR="0">
                <wp:extent cx="6985" cy="6985"/>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8A69A" id="Rechteck 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" filled="f" stroked="f">
                <o:lock v:ext="edit" aspectratio="t"/>
                <w10:anchorlock/>
              </v:rect>
            </w:pict>
          </mc:Fallback>
        </mc:AlternateContent>
      </w:r>
    </w:p>
    <w:p w:rsidR="00627E45" w:rsidRDefault="00627E45" w:rsidP="00627E45"/>
    <w:p w:rsidR="00D65188" w:rsidRDefault="00D65188"/>
    <w:sectPr w:rsidR="00D65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4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61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45"/>
    <w:rsid w:val="00627E45"/>
    <w:rsid w:val="00D651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6AD0D-FEFC-44AE-9966-DA856A71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E45"/>
    <w:pPr>
      <w:spacing w:after="0" w:line="240" w:lineRule="auto"/>
    </w:pPr>
    <w:rPr>
      <w:rFonts w:ascii="Calibri" w:hAnsi="Calibri" w:cs="Calibri"/>
      <w:lang w:eastAsia="de-CH"/>
    </w:rPr>
  </w:style>
  <w:style w:type="paragraph" w:styleId="berschrift2">
    <w:name w:val="heading 2"/>
    <w:basedOn w:val="Standard"/>
    <w:link w:val="berschrift2Zchn"/>
    <w:uiPriority w:val="9"/>
    <w:semiHidden/>
    <w:unhideWhenUsed/>
    <w:qFormat/>
    <w:rsid w:val="00627E45"/>
    <w:pPr>
      <w:spacing w:after="150"/>
      <w:outlineLvl w:val="1"/>
    </w:pPr>
    <w:rPr>
      <w:rFonts w:ascii="Helvetica" w:hAnsi="Helvetica" w:cs="Helvetica"/>
      <w:color w:val="222222"/>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27E45"/>
    <w:rPr>
      <w:rFonts w:ascii="Helvetica" w:hAnsi="Helvetica" w:cs="Helvetica"/>
      <w:color w:val="222222"/>
      <w:sz w:val="30"/>
      <w:szCs w:val="30"/>
      <w:lang w:eastAsia="de-CH"/>
    </w:rPr>
  </w:style>
  <w:style w:type="character" w:styleId="Hyperlink">
    <w:name w:val="Hyperlink"/>
    <w:basedOn w:val="Absatz-Standardschriftart"/>
    <w:uiPriority w:val="99"/>
    <w:semiHidden/>
    <w:unhideWhenUsed/>
    <w:rsid w:val="00627E45"/>
    <w:rPr>
      <w:color w:val="0000FF"/>
      <w:u w:val="single"/>
    </w:rPr>
  </w:style>
  <w:style w:type="paragraph" w:styleId="StandardWeb">
    <w:name w:val="Normal (Web)"/>
    <w:basedOn w:val="Standard"/>
    <w:uiPriority w:val="99"/>
    <w:semiHidden/>
    <w:unhideWhenUsed/>
    <w:rsid w:val="00627E45"/>
    <w:pPr>
      <w:spacing w:before="100" w:beforeAutospacing="1" w:after="100" w:afterAutospacing="1"/>
    </w:pPr>
  </w:style>
  <w:style w:type="character" w:customStyle="1" w:styleId="address-logo-suisse1">
    <w:name w:val="address-logo-suisse1"/>
    <w:basedOn w:val="Absatz-Standardschriftart"/>
    <w:rsid w:val="00627E45"/>
    <w:rPr>
      <w:color w:val="CD1437"/>
    </w:rPr>
  </w:style>
  <w:style w:type="character" w:styleId="Fett">
    <w:name w:val="Strong"/>
    <w:basedOn w:val="Absatz-Standardschriftart"/>
    <w:uiPriority w:val="22"/>
    <w:qFormat/>
    <w:rsid w:val="00627E45"/>
    <w:rPr>
      <w:b/>
      <w:bCs/>
    </w:rPr>
  </w:style>
  <w:style w:type="character" w:styleId="Hervorhebung">
    <w:name w:val="Emphasis"/>
    <w:basedOn w:val="Absatz-Standardschriftart"/>
    <w:uiPriority w:val="20"/>
    <w:qFormat/>
    <w:rsid w:val="00627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78313">
      <w:bodyDiv w:val="1"/>
      <w:marLeft w:val="0"/>
      <w:marRight w:val="0"/>
      <w:marTop w:val="0"/>
      <w:marBottom w:val="0"/>
      <w:divBdr>
        <w:top w:val="none" w:sz="0" w:space="0" w:color="auto"/>
        <w:left w:val="none" w:sz="0" w:space="0" w:color="auto"/>
        <w:bottom w:val="none" w:sz="0" w:space="0" w:color="auto"/>
        <w:right w:val="none" w:sz="0" w:space="0" w:color="auto"/>
      </w:divBdr>
    </w:div>
    <w:div w:id="20523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ffuresuisse.cmail19.com/t/t-l-nhkuhkk-zjjdlitii-j/" TargetMode="External"/><Relationship Id="rId13" Type="http://schemas.openxmlformats.org/officeDocument/2006/relationships/hyperlink" Target="https://coiffuresuisse.cmail19.com/t/t-l-nhkuhkk-zjjdlitii-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coiffuresuisse.cmail19.com/t/t-u-nhkuhkk-zjjdlitii-r/" TargetMode="External"/><Relationship Id="rId7" Type="http://schemas.openxmlformats.org/officeDocument/2006/relationships/image" Target="media/image2.jpeg"/><Relationship Id="rId12" Type="http://schemas.openxmlformats.org/officeDocument/2006/relationships/hyperlink" Target="mailto:mail@coiffuresuisse.ch" TargetMode="External"/><Relationship Id="rId17" Type="http://schemas.openxmlformats.org/officeDocument/2006/relationships/hyperlink" Target="https://coiffuresuisse.cmail19.com/t/t-l-nhkuhkk-zjjdlitii-b/"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2.png@01D60059.6F376900" TargetMode="External"/><Relationship Id="rId11" Type="http://schemas.openxmlformats.org/officeDocument/2006/relationships/hyperlink" Target="https://coiffuresuisse.cmail19.com/t/t-l-nhkuhkk-zjjdlitii-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oiffuresuisse.cmail19.com/t/t-l-nhkuhkk-zjjdlitii-o/" TargetMode="External"/><Relationship Id="rId23" Type="http://schemas.openxmlformats.org/officeDocument/2006/relationships/fontTable" Target="fontTable.xml"/><Relationship Id="rId10" Type="http://schemas.openxmlformats.org/officeDocument/2006/relationships/hyperlink" Target="https://coiffuresuisse.cmail19.com/t/t-l-nhkuhkk-zjjdlitii-i/" TargetMode="External"/><Relationship Id="rId19" Type="http://schemas.openxmlformats.org/officeDocument/2006/relationships/hyperlink" Target="https://coiffuresuisse.cmail19.com/t/t-l-nhkuhkk-zjjdlitii-n/" TargetMode="External"/><Relationship Id="rId4" Type="http://schemas.openxmlformats.org/officeDocument/2006/relationships/webSettings" Target="webSettings.xml"/><Relationship Id="rId9" Type="http://schemas.openxmlformats.org/officeDocument/2006/relationships/hyperlink" Target="https://coiffuresuisse.cmail19.com/t/t-l-nhkuhkk-zjjdlitii-t/" TargetMode="External"/><Relationship Id="rId14" Type="http://schemas.openxmlformats.org/officeDocument/2006/relationships/image" Target="media/image3.png"/><Relationship Id="rId22" Type="http://schemas.openxmlformats.org/officeDocument/2006/relationships/hyperlink" Target="https://coiffuresuisse.cmail19.com/t/t-e-nhkuhkk-zjjdlitii-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6962</Characters>
  <Application>Microsoft Office Word</Application>
  <DocSecurity>0</DocSecurity>
  <Lines>58</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Stäubli</dc:creator>
  <cp:keywords/>
  <dc:description/>
  <cp:lastModifiedBy>Eveline Stäubli</cp:lastModifiedBy>
  <cp:revision>1</cp:revision>
  <dcterms:created xsi:type="dcterms:W3CDTF">2020-03-23T07:02:00Z</dcterms:created>
  <dcterms:modified xsi:type="dcterms:W3CDTF">2020-03-23T07:06:00Z</dcterms:modified>
</cp:coreProperties>
</file>